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422" w:rsidRPr="00832AD7" w:rsidRDefault="002453CF" w:rsidP="00832AD7">
      <w:pPr>
        <w:spacing w:after="0" w:line="240" w:lineRule="auto"/>
        <w:rPr>
          <w:rFonts w:cs="David"/>
          <w:b/>
          <w:bCs/>
          <w:sz w:val="16"/>
          <w:szCs w:val="16"/>
          <w:rtl/>
        </w:rPr>
      </w:pPr>
      <w:bookmarkStart w:id="0" w:name="_GoBack"/>
      <w:bookmarkEnd w:id="0"/>
      <w:r w:rsidRPr="006C3B1F">
        <w:rPr>
          <w:rFonts w:cs="David" w:hint="cs"/>
          <w:b/>
          <w:bCs/>
          <w:sz w:val="24"/>
          <w:szCs w:val="24"/>
          <w:rtl/>
        </w:rPr>
        <w:t xml:space="preserve">                                 </w:t>
      </w:r>
      <w:r w:rsidR="006B7B96" w:rsidRPr="006C3B1F">
        <w:rPr>
          <w:rFonts w:cs="David" w:hint="cs"/>
          <w:b/>
          <w:bCs/>
          <w:sz w:val="24"/>
          <w:szCs w:val="24"/>
          <w:rtl/>
        </w:rPr>
        <w:t xml:space="preserve">           </w:t>
      </w:r>
      <w:r w:rsidR="00631744">
        <w:rPr>
          <w:rFonts w:cs="David" w:hint="cs"/>
          <w:b/>
          <w:bCs/>
          <w:sz w:val="24"/>
          <w:szCs w:val="24"/>
          <w:rtl/>
        </w:rPr>
        <w:t xml:space="preserve">           </w:t>
      </w:r>
      <w:r w:rsidR="006C3B1F">
        <w:rPr>
          <w:rFonts w:cs="David" w:hint="cs"/>
          <w:b/>
          <w:bCs/>
          <w:sz w:val="24"/>
          <w:szCs w:val="24"/>
          <w:rtl/>
        </w:rPr>
        <w:t xml:space="preserve">   </w:t>
      </w:r>
      <w:r w:rsidRPr="006C3B1F">
        <w:rPr>
          <w:rFonts w:cs="David" w:hint="cs"/>
          <w:b/>
          <w:bCs/>
          <w:sz w:val="24"/>
          <w:szCs w:val="24"/>
          <w:rtl/>
        </w:rPr>
        <w:t xml:space="preserve">  </w:t>
      </w:r>
      <w:r w:rsidR="001D42A7">
        <w:rPr>
          <w:rFonts w:hint="cs"/>
          <w:b/>
          <w:bCs/>
          <w:rtl/>
        </w:rPr>
        <w:t xml:space="preserve">  </w:t>
      </w:r>
    </w:p>
    <w:p w:rsidR="00723A5A" w:rsidRDefault="00723A5A" w:rsidP="00723A5A">
      <w:pPr>
        <w:spacing w:after="0" w:line="240" w:lineRule="auto"/>
        <w:jc w:val="right"/>
        <w:rPr>
          <w:rFonts w:ascii="Times New Roman" w:eastAsia="Times New Roman" w:hAnsi="Times New Roman" w:cs="David"/>
          <w:sz w:val="16"/>
          <w:szCs w:val="16"/>
          <w:rtl/>
        </w:rPr>
      </w:pPr>
      <w:r>
        <w:rPr>
          <w:rFonts w:ascii="Times New Roman" w:eastAsia="Times New Roman" w:hAnsi="Times New Roman" w:cs="David" w:hint="eastAsia"/>
          <w:sz w:val="16"/>
          <w:szCs w:val="16"/>
          <w:rtl/>
        </w:rPr>
        <w:t>‏</w:t>
      </w:r>
      <w:r>
        <w:rPr>
          <w:rFonts w:ascii="Times New Roman" w:eastAsia="Times New Roman" w:hAnsi="Times New Roman" w:cs="David"/>
          <w:sz w:val="16"/>
          <w:szCs w:val="16"/>
          <w:rtl/>
        </w:rPr>
        <w:t>28 דצמבר 2023</w:t>
      </w:r>
    </w:p>
    <w:p w:rsidR="00723A5A" w:rsidRDefault="00723A5A" w:rsidP="00832AD7">
      <w:pPr>
        <w:spacing w:after="0" w:line="240" w:lineRule="auto"/>
        <w:jc w:val="right"/>
        <w:rPr>
          <w:rFonts w:ascii="Times New Roman" w:eastAsia="Times New Roman" w:hAnsi="Times New Roman" w:cs="David"/>
          <w:sz w:val="16"/>
          <w:szCs w:val="16"/>
          <w:rtl/>
        </w:rPr>
      </w:pPr>
      <w:r>
        <w:rPr>
          <w:rFonts w:ascii="Times New Roman" w:eastAsia="Times New Roman" w:hAnsi="Times New Roman" w:cs="David" w:hint="eastAsia"/>
          <w:sz w:val="16"/>
          <w:szCs w:val="16"/>
          <w:rtl/>
        </w:rPr>
        <w:t>‏ט</w:t>
      </w:r>
      <w:r>
        <w:rPr>
          <w:rFonts w:ascii="Times New Roman" w:eastAsia="Times New Roman" w:hAnsi="Times New Roman" w:cs="David"/>
          <w:sz w:val="16"/>
          <w:szCs w:val="16"/>
          <w:rtl/>
        </w:rPr>
        <w:t>"ז טבת תשפ"ד</w:t>
      </w:r>
    </w:p>
    <w:p w:rsidR="00983123" w:rsidRPr="00983123" w:rsidRDefault="00983123" w:rsidP="00832AD7">
      <w:pPr>
        <w:spacing w:after="0" w:line="240" w:lineRule="auto"/>
        <w:jc w:val="right"/>
        <w:rPr>
          <w:rFonts w:ascii="Times New Roman" w:eastAsia="Times New Roman" w:hAnsi="Times New Roman" w:cs="David"/>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4700-1039-2023-010182</w:t>
      </w:r>
      <w:r w:rsidRPr="00832AD7">
        <w:rPr>
          <w:rFonts w:ascii="Times New Roman" w:eastAsia="Times New Roman" w:hAnsi="Times New Roman" w:cs="David" w:hint="cs"/>
          <w:sz w:val="16"/>
          <w:szCs w:val="16"/>
          <w:rtl/>
        </w:rPr>
        <w:fldChar w:fldCharType="end"/>
      </w:r>
    </w:p>
    <w:p w:rsidR="00541C9E" w:rsidRPr="000071E5" w:rsidRDefault="00541C9E" w:rsidP="00723A5A">
      <w:pPr>
        <w:spacing w:after="0" w:line="360" w:lineRule="auto"/>
        <w:jc w:val="center"/>
        <w:rPr>
          <w:rFonts w:ascii="FrankRuehl" w:hAnsi="FrankRuehl" w:cs="FrankRuehl"/>
          <w:b/>
          <w:bCs/>
          <w:color w:val="002060"/>
          <w:sz w:val="32"/>
          <w:szCs w:val="32"/>
          <w:u w:val="single"/>
          <w:rtl/>
        </w:rPr>
      </w:pPr>
      <w:r w:rsidRPr="000071E5">
        <w:rPr>
          <w:rFonts w:ascii="FrankRuehl" w:hAnsi="FrankRuehl" w:cs="FrankRuehl"/>
          <w:b/>
          <w:bCs/>
          <w:color w:val="002060"/>
          <w:sz w:val="32"/>
          <w:szCs w:val="32"/>
          <w:u w:val="single"/>
          <w:rtl/>
        </w:rPr>
        <w:t xml:space="preserve">תקציר </w:t>
      </w:r>
      <w:r w:rsidR="00561473">
        <w:rPr>
          <w:rFonts w:ascii="FrankRuehl" w:hAnsi="FrankRuehl" w:cs="FrankRuehl" w:hint="cs"/>
          <w:b/>
          <w:bCs/>
          <w:color w:val="002060"/>
          <w:sz w:val="32"/>
          <w:szCs w:val="32"/>
          <w:u w:val="single"/>
          <w:rtl/>
        </w:rPr>
        <w:t xml:space="preserve">גזר-דין ת"פ </w:t>
      </w:r>
      <w:r w:rsidR="00561473" w:rsidRPr="00561473">
        <w:rPr>
          <w:rFonts w:ascii="FrankRuehl" w:hAnsi="FrankRuehl" w:cs="FrankRuehl" w:hint="cs"/>
          <w:b/>
          <w:bCs/>
          <w:color w:val="002060"/>
          <w:sz w:val="32"/>
          <w:szCs w:val="32"/>
          <w:u w:val="single"/>
          <w:rtl/>
        </w:rPr>
        <w:t xml:space="preserve">60484-03-22 מדינת ישראל נ' </w:t>
      </w:r>
      <w:proofErr w:type="spellStart"/>
      <w:r w:rsidR="00561473" w:rsidRPr="00561473">
        <w:rPr>
          <w:rFonts w:ascii="FrankRuehl" w:hAnsi="FrankRuehl" w:cs="FrankRuehl" w:hint="cs"/>
          <w:b/>
          <w:bCs/>
          <w:color w:val="002060"/>
          <w:sz w:val="32"/>
          <w:szCs w:val="32"/>
          <w:u w:val="single"/>
          <w:rtl/>
        </w:rPr>
        <w:t>מסרוואה</w:t>
      </w:r>
      <w:proofErr w:type="spellEnd"/>
    </w:p>
    <w:p w:rsidR="00541C9E" w:rsidRDefault="00561473" w:rsidP="00723A5A">
      <w:pPr>
        <w:spacing w:after="0"/>
        <w:jc w:val="center"/>
        <w:rPr>
          <w:rFonts w:ascii="FrankRuehl" w:hAnsi="FrankRuehl" w:cs="FrankRuehl"/>
          <w:b/>
          <w:bCs/>
          <w:color w:val="002060"/>
          <w:sz w:val="32"/>
          <w:szCs w:val="32"/>
          <w:rtl/>
        </w:rPr>
      </w:pPr>
      <w:r>
        <w:rPr>
          <w:rFonts w:ascii="FrankRuehl" w:hAnsi="FrankRuehl" w:cs="FrankRuehl" w:hint="cs"/>
          <w:b/>
          <w:bCs/>
          <w:color w:val="002060"/>
          <w:sz w:val="32"/>
          <w:szCs w:val="32"/>
          <w:rtl/>
        </w:rPr>
        <w:t>ביהמ"ש המחוזי בחיפה, השופט אבי לוי</w:t>
      </w:r>
    </w:p>
    <w:p w:rsidR="00A16F95" w:rsidRPr="000071E5" w:rsidRDefault="00A16F95" w:rsidP="00541C9E">
      <w:pPr>
        <w:spacing w:after="120"/>
        <w:jc w:val="center"/>
        <w:rPr>
          <w:rFonts w:ascii="FrankRuehl" w:hAnsi="FrankRuehl" w:cs="FrankRuehl"/>
          <w:b/>
          <w:bCs/>
          <w:color w:val="002060"/>
          <w:sz w:val="32"/>
          <w:szCs w:val="32"/>
          <w:rtl/>
        </w:rPr>
      </w:pPr>
    </w:p>
    <w:p w:rsidR="00561473" w:rsidRDefault="00561473" w:rsidP="00561473">
      <w:pPr>
        <w:spacing w:line="360" w:lineRule="auto"/>
        <w:jc w:val="both"/>
        <w:rPr>
          <w:rFonts w:cs="David"/>
          <w:sz w:val="24"/>
          <w:szCs w:val="24"/>
          <w:rtl/>
        </w:rPr>
      </w:pPr>
      <w:r w:rsidRPr="003C592B">
        <w:rPr>
          <w:rFonts w:cs="David" w:hint="cs"/>
          <w:b/>
          <w:bCs/>
          <w:sz w:val="24"/>
          <w:szCs w:val="24"/>
          <w:rtl/>
        </w:rPr>
        <w:t xml:space="preserve">אימן </w:t>
      </w:r>
      <w:proofErr w:type="spellStart"/>
      <w:r w:rsidRPr="003C592B">
        <w:rPr>
          <w:rFonts w:cs="David" w:hint="cs"/>
          <w:b/>
          <w:bCs/>
          <w:sz w:val="24"/>
          <w:szCs w:val="24"/>
          <w:rtl/>
        </w:rPr>
        <w:t>מסארווה</w:t>
      </w:r>
      <w:proofErr w:type="spellEnd"/>
      <w:r w:rsidRPr="003C592B">
        <w:rPr>
          <w:rFonts w:cs="David" w:hint="cs"/>
          <w:b/>
          <w:bCs/>
          <w:sz w:val="24"/>
          <w:szCs w:val="24"/>
          <w:rtl/>
        </w:rPr>
        <w:t xml:space="preserve"> </w:t>
      </w:r>
      <w:r w:rsidRPr="004B6BA8">
        <w:rPr>
          <w:rFonts w:cs="David" w:hint="cs"/>
          <w:sz w:val="24"/>
          <w:szCs w:val="24"/>
          <w:rtl/>
        </w:rPr>
        <w:t>הורשע</w:t>
      </w:r>
      <w:r w:rsidRPr="00173215">
        <w:rPr>
          <w:rFonts w:cs="David" w:hint="cs"/>
          <w:sz w:val="24"/>
          <w:szCs w:val="24"/>
          <w:rtl/>
        </w:rPr>
        <w:t xml:space="preserve"> </w:t>
      </w:r>
      <w:r>
        <w:rPr>
          <w:rFonts w:cs="David" w:hint="cs"/>
          <w:sz w:val="24"/>
          <w:szCs w:val="24"/>
          <w:rtl/>
        </w:rPr>
        <w:t>על-סמך הודאתו</w:t>
      </w:r>
      <w:r w:rsidRPr="004B6BA8">
        <w:rPr>
          <w:rFonts w:cs="David" w:hint="cs"/>
          <w:sz w:val="24"/>
          <w:szCs w:val="24"/>
          <w:rtl/>
        </w:rPr>
        <w:t xml:space="preserve"> </w:t>
      </w:r>
      <w:r w:rsidRPr="007E712C">
        <w:rPr>
          <w:rFonts w:cs="David" w:hint="cs"/>
          <w:sz w:val="24"/>
          <w:szCs w:val="24"/>
          <w:u w:val="single"/>
          <w:rtl/>
        </w:rPr>
        <w:t>בשתי</w:t>
      </w:r>
      <w:r>
        <w:rPr>
          <w:rFonts w:cs="David" w:hint="cs"/>
          <w:sz w:val="24"/>
          <w:szCs w:val="24"/>
          <w:rtl/>
        </w:rPr>
        <w:t xml:space="preserve"> עבירות שעניינן </w:t>
      </w:r>
      <w:r w:rsidRPr="003C592B">
        <w:rPr>
          <w:rFonts w:cs="David" w:hint="cs"/>
          <w:b/>
          <w:bCs/>
          <w:sz w:val="24"/>
          <w:szCs w:val="24"/>
          <w:rtl/>
        </w:rPr>
        <w:t>סחר בסם מסוכן</w:t>
      </w:r>
      <w:r>
        <w:rPr>
          <w:rFonts w:cs="David" w:hint="cs"/>
          <w:sz w:val="24"/>
          <w:szCs w:val="24"/>
          <w:rtl/>
        </w:rPr>
        <w:t xml:space="preserve"> ובעבירת </w:t>
      </w:r>
      <w:r w:rsidRPr="003C592B">
        <w:rPr>
          <w:rFonts w:cs="David" w:hint="cs"/>
          <w:b/>
          <w:bCs/>
          <w:sz w:val="24"/>
          <w:szCs w:val="24"/>
          <w:rtl/>
        </w:rPr>
        <w:t>החזקת סם מסוכן שלא לצריכה עצמית</w:t>
      </w:r>
      <w:r>
        <w:rPr>
          <w:rFonts w:cs="David" w:hint="cs"/>
          <w:sz w:val="24"/>
          <w:szCs w:val="24"/>
          <w:rtl/>
        </w:rPr>
        <w:t xml:space="preserve">. עניינו של נאשם זה הופרד מעניינם של אחרים שהואשמו </w:t>
      </w:r>
      <w:proofErr w:type="spellStart"/>
      <w:r>
        <w:rPr>
          <w:rFonts w:cs="David" w:hint="cs"/>
          <w:sz w:val="24"/>
          <w:szCs w:val="24"/>
          <w:rtl/>
        </w:rPr>
        <w:t>עימו</w:t>
      </w:r>
      <w:proofErr w:type="spellEnd"/>
      <w:r>
        <w:rPr>
          <w:rFonts w:cs="David" w:hint="cs"/>
          <w:sz w:val="24"/>
          <w:szCs w:val="24"/>
          <w:rtl/>
        </w:rPr>
        <w:t xml:space="preserve"> בכתב האישום מאחר שסמוך למועד שנקבע למתן גזר דינם נתגלה, כי הנאשם סובל מגידול ממאיר וזקוק להתערבות רפואית דחופה. </w:t>
      </w:r>
    </w:p>
    <w:p w:rsidR="00561473" w:rsidRDefault="00561473" w:rsidP="00561473">
      <w:pPr>
        <w:spacing w:line="360" w:lineRule="auto"/>
        <w:jc w:val="both"/>
        <w:rPr>
          <w:rFonts w:cs="David"/>
          <w:b/>
          <w:bCs/>
          <w:sz w:val="24"/>
          <w:szCs w:val="24"/>
          <w:rtl/>
        </w:rPr>
      </w:pPr>
      <w:r w:rsidRPr="00D7670B">
        <w:rPr>
          <w:rFonts w:cs="David" w:hint="cs"/>
          <w:b/>
          <w:bCs/>
          <w:sz w:val="24"/>
          <w:szCs w:val="24"/>
          <w:rtl/>
        </w:rPr>
        <w:t>לנאשם</w:t>
      </w:r>
      <w:r>
        <w:rPr>
          <w:rFonts w:cs="David" w:hint="cs"/>
          <w:b/>
          <w:bCs/>
          <w:sz w:val="24"/>
          <w:szCs w:val="24"/>
          <w:rtl/>
        </w:rPr>
        <w:t>,</w:t>
      </w:r>
      <w:r w:rsidRPr="00D7670B">
        <w:rPr>
          <w:rFonts w:cs="David" w:hint="cs"/>
          <w:b/>
          <w:bCs/>
          <w:sz w:val="24"/>
          <w:szCs w:val="24"/>
          <w:rtl/>
        </w:rPr>
        <w:t xml:space="preserve"> </w:t>
      </w:r>
      <w:r>
        <w:rPr>
          <w:rFonts w:cs="David" w:hint="cs"/>
          <w:sz w:val="24"/>
          <w:szCs w:val="24"/>
          <w:rtl/>
        </w:rPr>
        <w:t xml:space="preserve">יליד 1972, ארבע הרשעות קודמות שבגינן ריצה הנאשם ארבע שנות מאסר ומחצה. </w:t>
      </w:r>
      <w:r>
        <w:rPr>
          <w:rFonts w:cs="David" w:hint="cs"/>
          <w:b/>
          <w:bCs/>
          <w:sz w:val="24"/>
          <w:szCs w:val="24"/>
          <w:rtl/>
        </w:rPr>
        <w:t>בית המשפט עמד על כך, ש</w:t>
      </w:r>
      <w:r w:rsidRPr="00780D65">
        <w:rPr>
          <w:rFonts w:cs="David" w:hint="cs"/>
          <w:b/>
          <w:bCs/>
          <w:sz w:val="24"/>
          <w:szCs w:val="24"/>
          <w:rtl/>
        </w:rPr>
        <w:t xml:space="preserve">המעשים שבעשייתם הורשע </w:t>
      </w:r>
      <w:r>
        <w:rPr>
          <w:rFonts w:cs="David" w:hint="cs"/>
          <w:b/>
          <w:bCs/>
          <w:sz w:val="24"/>
          <w:szCs w:val="24"/>
          <w:rtl/>
        </w:rPr>
        <w:t>הנאשם חמורים</w:t>
      </w:r>
      <w:r w:rsidRPr="00780D65">
        <w:rPr>
          <w:rFonts w:cs="David" w:hint="cs"/>
          <w:b/>
          <w:bCs/>
          <w:sz w:val="24"/>
          <w:szCs w:val="24"/>
          <w:rtl/>
        </w:rPr>
        <w:t xml:space="preserve"> </w:t>
      </w:r>
      <w:r>
        <w:rPr>
          <w:rFonts w:cs="David" w:hint="cs"/>
          <w:b/>
          <w:bCs/>
          <w:sz w:val="24"/>
          <w:szCs w:val="24"/>
          <w:rtl/>
        </w:rPr>
        <w:t xml:space="preserve">שכן הוא  "הרוח החיה" אשר הניעה את ביצוען של עסקאות הסמים אל מול הסוכן. הוא סחר פעמיים בכמות בלתי מבוטלת של סם מסוכן מסוג קוקאין והחזיק בו שלא לצריכה עצמית, תוך שהוא מפעיל את יתר הנאשמים לבצע עמו את פעולות אלו או לסייע לו.    </w:t>
      </w:r>
    </w:p>
    <w:p w:rsidR="00561473" w:rsidRDefault="00561473" w:rsidP="00561473">
      <w:pPr>
        <w:spacing w:line="360" w:lineRule="auto"/>
        <w:jc w:val="both"/>
        <w:rPr>
          <w:rFonts w:cs="David"/>
          <w:sz w:val="24"/>
          <w:szCs w:val="24"/>
        </w:rPr>
      </w:pPr>
      <w:r>
        <w:rPr>
          <w:rFonts w:cs="David" w:hint="cs"/>
          <w:sz w:val="24"/>
          <w:szCs w:val="24"/>
          <w:rtl/>
        </w:rPr>
        <w:t xml:space="preserve">על פי עובדות ההרשעה, בתאריך 18.8.21 שוחח נאשם 1  עם סוכן משטרתי. סוכם, כי נאשם 1 ימכור לסוכן סם מסוכן מסוג קוקאין בכמות של כ- 100 גרם </w:t>
      </w:r>
      <w:r w:rsidRPr="00C746D9">
        <w:rPr>
          <w:rFonts w:cs="David" w:hint="cs"/>
          <w:b/>
          <w:bCs/>
          <w:sz w:val="24"/>
          <w:szCs w:val="24"/>
          <w:rtl/>
        </w:rPr>
        <w:t xml:space="preserve">תמורת 24,000 ₪, </w:t>
      </w:r>
      <w:r w:rsidRPr="00836DF2">
        <w:rPr>
          <w:rFonts w:cs="David" w:hint="cs"/>
          <w:sz w:val="24"/>
          <w:szCs w:val="24"/>
          <w:rtl/>
        </w:rPr>
        <w:t>ביום המחרת.</w:t>
      </w:r>
      <w:r>
        <w:rPr>
          <w:rFonts w:cs="David" w:hint="cs"/>
          <w:sz w:val="24"/>
          <w:szCs w:val="24"/>
          <w:rtl/>
        </w:rPr>
        <w:t xml:space="preserve"> ואכן, הנאשם וחבריו מכרו סם מסוכן מסוג קוקאין במשקל כולל </w:t>
      </w:r>
      <w:r w:rsidRPr="00C318D7">
        <w:rPr>
          <w:rFonts w:cs="David" w:hint="cs"/>
          <w:b/>
          <w:bCs/>
          <w:sz w:val="24"/>
          <w:szCs w:val="24"/>
          <w:rtl/>
        </w:rPr>
        <w:t>של 98.25 גרם נטו</w:t>
      </w:r>
      <w:r w:rsidRPr="00D7670B">
        <w:rPr>
          <w:rFonts w:cs="David" w:hint="cs"/>
          <w:sz w:val="24"/>
          <w:szCs w:val="24"/>
          <w:rtl/>
        </w:rPr>
        <w:t xml:space="preserve">. </w:t>
      </w:r>
      <w:r>
        <w:rPr>
          <w:rFonts w:cs="David" w:hint="cs"/>
          <w:sz w:val="24"/>
          <w:szCs w:val="24"/>
          <w:rtl/>
        </w:rPr>
        <w:t>בין התאריכים 9.9.21 ו - 11.9.21 סיכמו הנאשם והסוכן שהנאשם ימכור לסוכן סם מסוכן מסוג קוקאין בכמות של 100 גרם תמורת 240 ₪ (לגרם). הנאשם  אכן סיפק באמצעות שותפיו סם מסוכן מסוג קוקאין במשקל כולל של 99.69 גרם נטו.</w:t>
      </w:r>
    </w:p>
    <w:p w:rsidR="00561473" w:rsidRPr="00561473" w:rsidRDefault="00561473" w:rsidP="00561473">
      <w:pPr>
        <w:spacing w:line="360" w:lineRule="auto"/>
        <w:jc w:val="both"/>
        <w:rPr>
          <w:rFonts w:cs="David"/>
          <w:b/>
          <w:bCs/>
          <w:sz w:val="24"/>
          <w:szCs w:val="24"/>
          <w:rtl/>
        </w:rPr>
      </w:pPr>
      <w:r w:rsidRPr="00EF6923">
        <w:rPr>
          <w:rFonts w:ascii="David" w:hAnsi="David" w:cs="David" w:hint="cs"/>
          <w:b/>
          <w:bCs/>
          <w:sz w:val="24"/>
          <w:szCs w:val="24"/>
          <w:rtl/>
        </w:rPr>
        <w:t xml:space="preserve">מעשיו </w:t>
      </w:r>
      <w:r>
        <w:rPr>
          <w:rFonts w:ascii="David" w:hAnsi="David" w:cs="David" w:hint="cs"/>
          <w:b/>
          <w:bCs/>
          <w:sz w:val="24"/>
          <w:szCs w:val="24"/>
          <w:rtl/>
        </w:rPr>
        <w:t xml:space="preserve">של הנאשם </w:t>
      </w:r>
      <w:r w:rsidRPr="00EF6923">
        <w:rPr>
          <w:rFonts w:ascii="David" w:hAnsi="David" w:cs="David" w:hint="cs"/>
          <w:b/>
          <w:bCs/>
          <w:sz w:val="24"/>
          <w:szCs w:val="24"/>
          <w:rtl/>
        </w:rPr>
        <w:t>היו</w:t>
      </w:r>
      <w:r>
        <w:rPr>
          <w:rFonts w:ascii="David" w:hAnsi="David" w:cs="David" w:hint="cs"/>
          <w:b/>
          <w:bCs/>
          <w:sz w:val="24"/>
          <w:szCs w:val="24"/>
          <w:rtl/>
        </w:rPr>
        <w:t xml:space="preserve"> מודעים ומכוונים לביצוע העסקה. </w:t>
      </w:r>
      <w:r w:rsidRPr="0045574F">
        <w:rPr>
          <w:rFonts w:ascii="David" w:hAnsi="David" w:cs="David" w:hint="cs"/>
          <w:b/>
          <w:bCs/>
          <w:sz w:val="24"/>
          <w:szCs w:val="24"/>
          <w:rtl/>
        </w:rPr>
        <w:t xml:space="preserve">חלקו בביצוע העבירה </w:t>
      </w:r>
      <w:r>
        <w:rPr>
          <w:rFonts w:ascii="David" w:hAnsi="David" w:cs="David" w:hint="cs"/>
          <w:b/>
          <w:bCs/>
          <w:sz w:val="24"/>
          <w:szCs w:val="24"/>
          <w:rtl/>
        </w:rPr>
        <w:t>כאמור הוא המרכזי ביותר.</w:t>
      </w:r>
      <w:r w:rsidRPr="00C95A64">
        <w:rPr>
          <w:rFonts w:ascii="David" w:hAnsi="David" w:cs="David" w:hint="cs"/>
          <w:b/>
          <w:bCs/>
          <w:sz w:val="24"/>
          <w:szCs w:val="24"/>
          <w:rtl/>
        </w:rPr>
        <w:t xml:space="preserve"> </w:t>
      </w:r>
      <w:r>
        <w:rPr>
          <w:rFonts w:ascii="David" w:hAnsi="David" w:cs="David" w:hint="cs"/>
          <w:b/>
          <w:bCs/>
          <w:sz w:val="24"/>
          <w:szCs w:val="24"/>
          <w:rtl/>
        </w:rPr>
        <w:t xml:space="preserve">הוא אמנם הסתייע וביצע בצוותא את העסקאות עם הנאשמים האחרים, אך קשירת הקשר והתכנון המוקדם </w:t>
      </w:r>
      <w:r w:rsidRPr="00C95A64">
        <w:rPr>
          <w:rFonts w:ascii="David" w:hAnsi="David" w:cs="David" w:hint="cs"/>
          <w:b/>
          <w:bCs/>
          <w:sz w:val="24"/>
          <w:szCs w:val="24"/>
          <w:rtl/>
        </w:rPr>
        <w:t>מיוחסים בעיקר אליו</w:t>
      </w:r>
      <w:r>
        <w:rPr>
          <w:rFonts w:ascii="David" w:hAnsi="David" w:cs="David" w:hint="cs"/>
          <w:b/>
          <w:bCs/>
          <w:sz w:val="24"/>
          <w:szCs w:val="24"/>
          <w:rtl/>
        </w:rPr>
        <w:t xml:space="preserve">. </w:t>
      </w:r>
      <w:r w:rsidRPr="00EF6923">
        <w:rPr>
          <w:rFonts w:ascii="David" w:hAnsi="David" w:cs="David" w:hint="cs"/>
          <w:b/>
          <w:bCs/>
          <w:sz w:val="24"/>
          <w:szCs w:val="24"/>
          <w:rtl/>
        </w:rPr>
        <w:t xml:space="preserve">כתוצאה מביצוע </w:t>
      </w:r>
      <w:r>
        <w:rPr>
          <w:rFonts w:ascii="David" w:hAnsi="David" w:cs="David" w:hint="cs"/>
          <w:b/>
          <w:bCs/>
          <w:sz w:val="24"/>
          <w:szCs w:val="24"/>
          <w:rtl/>
        </w:rPr>
        <w:t>מעשיו</w:t>
      </w:r>
      <w:r w:rsidRPr="00EF6923">
        <w:rPr>
          <w:rFonts w:ascii="David" w:hAnsi="David" w:cs="David" w:hint="cs"/>
          <w:b/>
          <w:bCs/>
          <w:sz w:val="24"/>
          <w:szCs w:val="24"/>
          <w:rtl/>
        </w:rPr>
        <w:t xml:space="preserve"> עלול</w:t>
      </w:r>
      <w:r>
        <w:rPr>
          <w:rFonts w:ascii="David" w:hAnsi="David" w:cs="David" w:hint="cs"/>
          <w:b/>
          <w:bCs/>
          <w:sz w:val="24"/>
          <w:szCs w:val="24"/>
          <w:rtl/>
        </w:rPr>
        <w:t>ים היו</w:t>
      </w:r>
      <w:r w:rsidRPr="00EF6923">
        <w:rPr>
          <w:rFonts w:ascii="David" w:hAnsi="David" w:cs="David" w:hint="cs"/>
          <w:b/>
          <w:bCs/>
          <w:sz w:val="24"/>
          <w:szCs w:val="24"/>
          <w:rtl/>
        </w:rPr>
        <w:t xml:space="preserve"> להיגרם נזק</w:t>
      </w:r>
      <w:r>
        <w:rPr>
          <w:rFonts w:ascii="David" w:hAnsi="David" w:cs="David" w:hint="cs"/>
          <w:b/>
          <w:bCs/>
          <w:sz w:val="24"/>
          <w:szCs w:val="24"/>
          <w:rtl/>
        </w:rPr>
        <w:t>ים ממשים</w:t>
      </w:r>
      <w:r w:rsidRPr="00EF6923">
        <w:rPr>
          <w:rFonts w:ascii="David" w:hAnsi="David" w:cs="David" w:hint="cs"/>
          <w:b/>
          <w:bCs/>
          <w:sz w:val="24"/>
          <w:szCs w:val="24"/>
          <w:rtl/>
        </w:rPr>
        <w:t xml:space="preserve"> </w:t>
      </w:r>
      <w:r>
        <w:rPr>
          <w:rFonts w:ascii="David" w:hAnsi="David" w:cs="David" w:hint="cs"/>
          <w:b/>
          <w:bCs/>
          <w:sz w:val="24"/>
          <w:szCs w:val="24"/>
          <w:rtl/>
        </w:rPr>
        <w:t xml:space="preserve">לבריאותם של בני אדם </w:t>
      </w:r>
      <w:r w:rsidRPr="00EF6923">
        <w:rPr>
          <w:rFonts w:ascii="David" w:hAnsi="David" w:cs="David" w:hint="cs"/>
          <w:b/>
          <w:bCs/>
          <w:sz w:val="24"/>
          <w:szCs w:val="24"/>
          <w:rtl/>
        </w:rPr>
        <w:t xml:space="preserve">בשים לב לאופי </w:t>
      </w:r>
      <w:r>
        <w:rPr>
          <w:rFonts w:ascii="David" w:hAnsi="David" w:cs="David" w:hint="cs"/>
          <w:b/>
          <w:bCs/>
          <w:sz w:val="24"/>
          <w:szCs w:val="24"/>
          <w:rtl/>
        </w:rPr>
        <w:t>הסמים וכמותם</w:t>
      </w:r>
      <w:r w:rsidRPr="00EF6923">
        <w:rPr>
          <w:rFonts w:ascii="David" w:hAnsi="David" w:cs="David" w:hint="cs"/>
          <w:sz w:val="24"/>
          <w:szCs w:val="24"/>
          <w:rtl/>
        </w:rPr>
        <w:t xml:space="preserve">. </w:t>
      </w:r>
      <w:r w:rsidRPr="0025532F">
        <w:rPr>
          <w:rFonts w:ascii="David" w:hAnsi="David" w:cs="David" w:hint="cs"/>
          <w:b/>
          <w:bCs/>
          <w:sz w:val="24"/>
          <w:szCs w:val="24"/>
          <w:rtl/>
        </w:rPr>
        <w:t>בפועל, לא נגרמו נזקים כתוצאה מהמעשה</w:t>
      </w:r>
      <w:r>
        <w:rPr>
          <w:rFonts w:ascii="David" w:hAnsi="David" w:cs="David" w:hint="cs"/>
          <w:sz w:val="24"/>
          <w:szCs w:val="24"/>
          <w:rtl/>
        </w:rPr>
        <w:t xml:space="preserve">, </w:t>
      </w:r>
      <w:r w:rsidRPr="0025532F">
        <w:rPr>
          <w:rFonts w:ascii="David" w:hAnsi="David" w:cs="David" w:hint="cs"/>
          <w:b/>
          <w:bCs/>
          <w:sz w:val="24"/>
          <w:szCs w:val="24"/>
          <w:rtl/>
        </w:rPr>
        <w:t>שכן הס</w:t>
      </w:r>
      <w:r>
        <w:rPr>
          <w:rFonts w:ascii="David" w:hAnsi="David" w:cs="David" w:hint="cs"/>
          <w:b/>
          <w:bCs/>
          <w:sz w:val="24"/>
          <w:szCs w:val="24"/>
          <w:rtl/>
        </w:rPr>
        <w:t>מים</w:t>
      </w:r>
      <w:r w:rsidRPr="0025532F">
        <w:rPr>
          <w:rFonts w:ascii="David" w:hAnsi="David" w:cs="David" w:hint="cs"/>
          <w:b/>
          <w:bCs/>
          <w:sz w:val="24"/>
          <w:szCs w:val="24"/>
          <w:rtl/>
        </w:rPr>
        <w:t xml:space="preserve"> סופק</w:t>
      </w:r>
      <w:r>
        <w:rPr>
          <w:rFonts w:ascii="David" w:hAnsi="David" w:cs="David" w:hint="cs"/>
          <w:b/>
          <w:bCs/>
          <w:sz w:val="24"/>
          <w:szCs w:val="24"/>
          <w:rtl/>
        </w:rPr>
        <w:t>ו</w:t>
      </w:r>
      <w:r w:rsidRPr="0025532F">
        <w:rPr>
          <w:rFonts w:ascii="David" w:hAnsi="David" w:cs="David" w:hint="cs"/>
          <w:b/>
          <w:bCs/>
          <w:sz w:val="24"/>
          <w:szCs w:val="24"/>
          <w:rtl/>
        </w:rPr>
        <w:t xml:space="preserve"> לסוכן.</w:t>
      </w:r>
    </w:p>
    <w:p w:rsidR="00561473" w:rsidRDefault="00561473" w:rsidP="00561473">
      <w:pPr>
        <w:spacing w:line="360" w:lineRule="auto"/>
        <w:jc w:val="both"/>
        <w:rPr>
          <w:rFonts w:ascii="David" w:hAnsi="David" w:cs="David"/>
          <w:sz w:val="24"/>
          <w:szCs w:val="24"/>
          <w:rtl/>
        </w:rPr>
      </w:pPr>
      <w:r>
        <w:rPr>
          <w:rFonts w:ascii="David" w:hAnsi="David" w:cs="David" w:hint="cs"/>
          <w:sz w:val="24"/>
          <w:szCs w:val="24"/>
          <w:rtl/>
        </w:rPr>
        <w:t xml:space="preserve">בית המשפט ציין, כי על הערכים החברתיים שבהם פגעו מעשיו של הנאשם אין צורך להכביר מילים. ביצוען של </w:t>
      </w:r>
      <w:r w:rsidRPr="00B0545A">
        <w:rPr>
          <w:rFonts w:ascii="David" w:hAnsi="David" w:cs="David" w:hint="cs"/>
          <w:b/>
          <w:bCs/>
          <w:sz w:val="24"/>
          <w:szCs w:val="24"/>
          <w:rtl/>
        </w:rPr>
        <w:t>שתי עבירות</w:t>
      </w:r>
      <w:r>
        <w:rPr>
          <w:rFonts w:ascii="David" w:hAnsi="David" w:cs="David" w:hint="cs"/>
          <w:sz w:val="24"/>
          <w:szCs w:val="24"/>
          <w:rtl/>
        </w:rPr>
        <w:t xml:space="preserve"> שעניינן סחר בסמים מסוכנים פוגעת בערכים </w:t>
      </w:r>
      <w:r>
        <w:rPr>
          <w:rFonts w:ascii="David" w:hAnsi="David" w:cs="David" w:hint="cs"/>
          <w:b/>
          <w:bCs/>
          <w:sz w:val="24"/>
          <w:szCs w:val="24"/>
          <w:rtl/>
        </w:rPr>
        <w:t>הנוגעים</w:t>
      </w:r>
      <w:r w:rsidRPr="00151AE8">
        <w:rPr>
          <w:rFonts w:ascii="David" w:hAnsi="David" w:cs="David" w:hint="cs"/>
          <w:b/>
          <w:bCs/>
          <w:sz w:val="24"/>
          <w:szCs w:val="24"/>
          <w:rtl/>
        </w:rPr>
        <w:t xml:space="preserve"> </w:t>
      </w:r>
      <w:r>
        <w:rPr>
          <w:rFonts w:ascii="David" w:hAnsi="David" w:cs="David" w:hint="cs"/>
          <w:b/>
          <w:bCs/>
          <w:sz w:val="24"/>
          <w:szCs w:val="24"/>
          <w:rtl/>
        </w:rPr>
        <w:t>בשמירה על</w:t>
      </w:r>
      <w:r w:rsidRPr="00151AE8">
        <w:rPr>
          <w:rFonts w:ascii="David" w:hAnsi="David" w:cs="David" w:hint="cs"/>
          <w:b/>
          <w:bCs/>
          <w:sz w:val="24"/>
          <w:szCs w:val="24"/>
          <w:rtl/>
        </w:rPr>
        <w:t xml:space="preserve"> בריאות-הצי</w:t>
      </w:r>
      <w:r>
        <w:rPr>
          <w:rFonts w:ascii="David" w:hAnsi="David" w:cs="David" w:hint="cs"/>
          <w:b/>
          <w:bCs/>
          <w:sz w:val="24"/>
          <w:szCs w:val="24"/>
          <w:rtl/>
        </w:rPr>
        <w:t>בור</w:t>
      </w:r>
      <w:r w:rsidRPr="00151AE8">
        <w:rPr>
          <w:rFonts w:ascii="David" w:hAnsi="David" w:cs="David" w:hint="cs"/>
          <w:b/>
          <w:bCs/>
          <w:sz w:val="24"/>
          <w:szCs w:val="24"/>
          <w:rtl/>
        </w:rPr>
        <w:t xml:space="preserve"> </w:t>
      </w:r>
      <w:r>
        <w:rPr>
          <w:rFonts w:ascii="David" w:hAnsi="David" w:cs="David" w:hint="cs"/>
          <w:b/>
          <w:bCs/>
          <w:sz w:val="24"/>
          <w:szCs w:val="24"/>
          <w:rtl/>
        </w:rPr>
        <w:t xml:space="preserve">וההגנה עליו מפני פגיעתו מעבירות הנלוות לעבירות הסמים. </w:t>
      </w:r>
      <w:r w:rsidRPr="00151AE8">
        <w:rPr>
          <w:rFonts w:ascii="David" w:hAnsi="David" w:cs="David" w:hint="cs"/>
          <w:b/>
          <w:bCs/>
          <w:sz w:val="24"/>
          <w:szCs w:val="24"/>
          <w:rtl/>
        </w:rPr>
        <w:t xml:space="preserve"> </w:t>
      </w:r>
      <w:r w:rsidRPr="00BB65EF">
        <w:rPr>
          <w:rFonts w:ascii="David" w:hAnsi="David" w:cs="David" w:hint="cs"/>
          <w:sz w:val="24"/>
          <w:szCs w:val="24"/>
          <w:rtl/>
        </w:rPr>
        <w:t>נוכח</w:t>
      </w:r>
      <w:r>
        <w:rPr>
          <w:rFonts w:ascii="David" w:hAnsi="David" w:cs="David" w:hint="cs"/>
          <w:b/>
          <w:bCs/>
          <w:sz w:val="24"/>
          <w:szCs w:val="24"/>
          <w:rtl/>
        </w:rPr>
        <w:t xml:space="preserve"> אופי הסם שנסחר </w:t>
      </w:r>
      <w:r w:rsidRPr="000546EC">
        <w:rPr>
          <w:rFonts w:ascii="David" w:hAnsi="David" w:cs="David" w:hint="cs"/>
          <w:sz w:val="24"/>
          <w:szCs w:val="24"/>
          <w:rtl/>
        </w:rPr>
        <w:t>(בשתי הזדמנויות שונות)</w:t>
      </w:r>
      <w:r>
        <w:rPr>
          <w:rFonts w:ascii="David" w:hAnsi="David" w:cs="David" w:hint="cs"/>
          <w:b/>
          <w:bCs/>
          <w:sz w:val="24"/>
          <w:szCs w:val="24"/>
          <w:rtl/>
        </w:rPr>
        <w:t xml:space="preserve"> </w:t>
      </w:r>
      <w:r>
        <w:rPr>
          <w:rFonts w:ascii="David" w:hAnsi="David" w:cs="David" w:hint="cs"/>
          <w:sz w:val="24"/>
          <w:szCs w:val="24"/>
          <w:rtl/>
        </w:rPr>
        <w:t xml:space="preserve">ראוי לקבוע, כי </w:t>
      </w:r>
      <w:r w:rsidRPr="00844621">
        <w:rPr>
          <w:rFonts w:ascii="David" w:hAnsi="David" w:cs="David" w:hint="cs"/>
          <w:b/>
          <w:bCs/>
          <w:sz w:val="24"/>
          <w:szCs w:val="24"/>
          <w:rtl/>
        </w:rPr>
        <w:t>מידת הפגיעה</w:t>
      </w:r>
      <w:r w:rsidRPr="00844621">
        <w:rPr>
          <w:rFonts w:ascii="David" w:hAnsi="David" w:cs="David" w:hint="cs"/>
          <w:sz w:val="24"/>
          <w:szCs w:val="24"/>
          <w:rtl/>
        </w:rPr>
        <w:t xml:space="preserve"> בערכים הללו, כפי שזו ניבטת ממעשיו של הנאשם</w:t>
      </w:r>
      <w:r>
        <w:rPr>
          <w:rFonts w:ascii="David" w:hAnsi="David" w:cs="David" w:hint="cs"/>
          <w:sz w:val="24"/>
          <w:szCs w:val="24"/>
          <w:rtl/>
        </w:rPr>
        <w:t xml:space="preserve"> </w:t>
      </w:r>
      <w:r w:rsidRPr="000546EC">
        <w:rPr>
          <w:rFonts w:ascii="David" w:hAnsi="David" w:cs="David" w:hint="cs"/>
          <w:b/>
          <w:bCs/>
          <w:sz w:val="24"/>
          <w:szCs w:val="24"/>
          <w:rtl/>
        </w:rPr>
        <w:t>היא גבוהה</w:t>
      </w:r>
      <w:r w:rsidRPr="00182B0A">
        <w:rPr>
          <w:rFonts w:ascii="David" w:hAnsi="David" w:cs="David" w:hint="cs"/>
          <w:sz w:val="24"/>
          <w:szCs w:val="24"/>
          <w:rtl/>
        </w:rPr>
        <w:t>.</w:t>
      </w:r>
    </w:p>
    <w:p w:rsidR="00561473" w:rsidRDefault="00561473" w:rsidP="00561473">
      <w:pPr>
        <w:spacing w:line="360" w:lineRule="auto"/>
        <w:jc w:val="both"/>
        <w:rPr>
          <w:rFonts w:cs="David"/>
          <w:sz w:val="24"/>
          <w:szCs w:val="24"/>
          <w:rtl/>
        </w:rPr>
      </w:pPr>
      <w:r>
        <w:rPr>
          <w:rFonts w:cs="David" w:hint="cs"/>
          <w:sz w:val="24"/>
          <w:szCs w:val="24"/>
          <w:rtl/>
        </w:rPr>
        <w:t>בית המשפט עמד על כך, ש</w:t>
      </w:r>
      <w:r w:rsidRPr="00F735C9">
        <w:rPr>
          <w:rFonts w:cs="David" w:hint="cs"/>
          <w:sz w:val="24"/>
          <w:szCs w:val="24"/>
          <w:rtl/>
        </w:rPr>
        <w:t xml:space="preserve">השפעתו של סם הקוקאין </w:t>
      </w:r>
      <w:r>
        <w:rPr>
          <w:rFonts w:cs="David" w:hint="cs"/>
          <w:sz w:val="24"/>
          <w:szCs w:val="24"/>
          <w:rtl/>
        </w:rPr>
        <w:t xml:space="preserve">היא </w:t>
      </w:r>
      <w:r w:rsidRPr="00F735C9">
        <w:rPr>
          <w:rFonts w:cs="David" w:hint="cs"/>
          <w:sz w:val="24"/>
          <w:szCs w:val="24"/>
          <w:rtl/>
        </w:rPr>
        <w:t>הרסנית</w:t>
      </w:r>
      <w:r>
        <w:rPr>
          <w:rFonts w:cs="David" w:hint="cs"/>
          <w:sz w:val="24"/>
          <w:szCs w:val="24"/>
          <w:rtl/>
        </w:rPr>
        <w:t>.</w:t>
      </w:r>
      <w:r w:rsidRPr="00F735C9">
        <w:rPr>
          <w:rFonts w:cs="David" w:hint="cs"/>
          <w:sz w:val="24"/>
          <w:szCs w:val="24"/>
          <w:rtl/>
        </w:rPr>
        <w:t xml:space="preserve"> </w:t>
      </w:r>
      <w:r w:rsidRPr="000546EC">
        <w:rPr>
          <w:rFonts w:cs="David" w:hint="cs"/>
          <w:sz w:val="24"/>
          <w:szCs w:val="24"/>
          <w:rtl/>
        </w:rPr>
        <w:t xml:space="preserve">בית-המשפט העליון עמד לא פעם על הצורך למגר את תופעת הפצת הסמים המסוכנים (בפרט הקשים שבהם) באמצעות </w:t>
      </w:r>
      <w:r w:rsidRPr="000546EC">
        <w:rPr>
          <w:rFonts w:ascii="David" w:hAnsi="David" w:cs="David"/>
          <w:sz w:val="24"/>
          <w:szCs w:val="24"/>
          <w:rtl/>
        </w:rPr>
        <w:t xml:space="preserve">נקיטת יד קשה מול הסוחרים </w:t>
      </w:r>
      <w:r w:rsidRPr="000546EC">
        <w:rPr>
          <w:rFonts w:ascii="David" w:hAnsi="David" w:cs="David" w:hint="cs"/>
          <w:sz w:val="24"/>
          <w:szCs w:val="24"/>
          <w:rtl/>
        </w:rPr>
        <w:t>ופגיעה ב</w:t>
      </w:r>
      <w:r w:rsidRPr="000546EC">
        <w:rPr>
          <w:rFonts w:ascii="David" w:hAnsi="David" w:cs="David"/>
          <w:sz w:val="24"/>
          <w:szCs w:val="24"/>
          <w:rtl/>
        </w:rPr>
        <w:t>שרשרת הספקת</w:t>
      </w:r>
      <w:r w:rsidRPr="000546EC">
        <w:rPr>
          <w:rFonts w:ascii="David" w:hAnsi="David" w:cs="David" w:hint="cs"/>
          <w:sz w:val="24"/>
          <w:szCs w:val="24"/>
          <w:rtl/>
        </w:rPr>
        <w:t xml:space="preserve"> הסם</w:t>
      </w:r>
      <w:r w:rsidRPr="000546EC">
        <w:rPr>
          <w:rFonts w:ascii="David" w:hAnsi="David" w:cs="David"/>
          <w:sz w:val="24"/>
          <w:szCs w:val="24"/>
          <w:rtl/>
        </w:rPr>
        <w:t xml:space="preserve">. עוד נקבע כי בעבירות מסוג זה יש מקום להתייחס בין היתר </w:t>
      </w:r>
      <w:r w:rsidRPr="000546EC">
        <w:rPr>
          <w:rFonts w:ascii="David" w:hAnsi="David" w:cs="David"/>
          <w:b/>
          <w:bCs/>
          <w:sz w:val="24"/>
          <w:szCs w:val="24"/>
          <w:u w:val="single"/>
          <w:rtl/>
        </w:rPr>
        <w:t>לסוג הסם ולכמותו</w:t>
      </w:r>
      <w:r>
        <w:rPr>
          <w:rFonts w:ascii="David" w:hAnsi="David" w:cs="David" w:hint="cs"/>
          <w:b/>
          <w:bCs/>
          <w:sz w:val="24"/>
          <w:szCs w:val="24"/>
          <w:rtl/>
        </w:rPr>
        <w:t>.</w:t>
      </w:r>
      <w:r w:rsidRPr="000546EC">
        <w:rPr>
          <w:rFonts w:ascii="David" w:hAnsi="David" w:cs="David" w:hint="cs"/>
          <w:b/>
          <w:bCs/>
          <w:sz w:val="24"/>
          <w:szCs w:val="24"/>
          <w:rtl/>
        </w:rPr>
        <w:t xml:space="preserve"> </w:t>
      </w:r>
      <w:r>
        <w:rPr>
          <w:rFonts w:ascii="David" w:hAnsi="David" w:cs="David" w:hint="cs"/>
          <w:sz w:val="24"/>
          <w:szCs w:val="24"/>
          <w:rtl/>
        </w:rPr>
        <w:t xml:space="preserve"> </w:t>
      </w:r>
      <w:r w:rsidRPr="000546EC">
        <w:rPr>
          <w:rFonts w:ascii="David" w:hAnsi="David" w:cs="David" w:hint="cs"/>
          <w:sz w:val="24"/>
          <w:szCs w:val="24"/>
          <w:rtl/>
        </w:rPr>
        <w:t xml:space="preserve">גישתן של הערכאות השיפוטיות כלפי העוסקים בסמים </w:t>
      </w:r>
      <w:r w:rsidRPr="000546EC">
        <w:rPr>
          <w:rFonts w:ascii="David" w:hAnsi="David" w:cs="David" w:hint="cs"/>
          <w:sz w:val="24"/>
          <w:szCs w:val="24"/>
          <w:rtl/>
        </w:rPr>
        <w:lastRenderedPageBreak/>
        <w:t>קשים (בפרט כלפי אלו הסוחרים בהם) היא בלתי-מתפשרת וקובעת כלל של הטלת מאסר מאחורי סורג ובריח לתקופות ממושכות</w:t>
      </w:r>
      <w:r w:rsidRPr="000546EC">
        <w:rPr>
          <w:rFonts w:ascii="David" w:hAnsi="David" w:cs="David" w:hint="cs"/>
          <w:b/>
          <w:bCs/>
          <w:sz w:val="24"/>
          <w:szCs w:val="24"/>
          <w:rtl/>
        </w:rPr>
        <w:t xml:space="preserve"> מטעמים של הרתעה, גמול והלימה</w:t>
      </w:r>
      <w:r w:rsidRPr="000546EC">
        <w:rPr>
          <w:rFonts w:ascii="David" w:hAnsi="David" w:cs="David" w:hint="cs"/>
          <w:sz w:val="24"/>
          <w:szCs w:val="24"/>
          <w:rtl/>
        </w:rPr>
        <w:t>.</w:t>
      </w:r>
    </w:p>
    <w:p w:rsidR="00561473" w:rsidRDefault="00561473" w:rsidP="00561473">
      <w:pPr>
        <w:spacing w:line="360" w:lineRule="auto"/>
        <w:jc w:val="both"/>
        <w:rPr>
          <w:rFonts w:ascii="David" w:hAnsi="David" w:cs="David"/>
          <w:sz w:val="24"/>
          <w:szCs w:val="24"/>
          <w:rtl/>
        </w:rPr>
      </w:pPr>
      <w:r w:rsidRPr="00C95A64">
        <w:rPr>
          <w:rFonts w:ascii="David" w:hAnsi="David" w:cs="David" w:hint="cs"/>
          <w:b/>
          <w:bCs/>
          <w:sz w:val="24"/>
          <w:szCs w:val="24"/>
          <w:rtl/>
        </w:rPr>
        <w:t>תפקידו וחלקו של הנאשם הוא המרכזי ביותר</w:t>
      </w:r>
      <w:r>
        <w:rPr>
          <w:rFonts w:ascii="David" w:hAnsi="David" w:cs="David" w:hint="cs"/>
          <w:b/>
          <w:bCs/>
          <w:sz w:val="24"/>
          <w:szCs w:val="24"/>
          <w:rtl/>
        </w:rPr>
        <w:t>,</w:t>
      </w:r>
      <w:r w:rsidRPr="00C95A64">
        <w:rPr>
          <w:rFonts w:ascii="David" w:hAnsi="David" w:cs="David" w:hint="cs"/>
          <w:b/>
          <w:bCs/>
          <w:sz w:val="24"/>
          <w:szCs w:val="24"/>
          <w:rtl/>
        </w:rPr>
        <w:t xml:space="preserve"> ב</w:t>
      </w:r>
      <w:r>
        <w:rPr>
          <w:rFonts w:ascii="David" w:hAnsi="David" w:cs="David" w:hint="cs"/>
          <w:b/>
          <w:bCs/>
          <w:sz w:val="24"/>
          <w:szCs w:val="24"/>
          <w:rtl/>
        </w:rPr>
        <w:t>התי</w:t>
      </w:r>
      <w:r w:rsidRPr="00C95A64">
        <w:rPr>
          <w:rFonts w:ascii="David" w:hAnsi="David" w:cs="David" w:hint="cs"/>
          <w:b/>
          <w:bCs/>
          <w:sz w:val="24"/>
          <w:szCs w:val="24"/>
          <w:rtl/>
        </w:rPr>
        <w:t>יחס ל</w:t>
      </w:r>
      <w:r>
        <w:rPr>
          <w:rFonts w:ascii="David" w:hAnsi="David" w:cs="David" w:hint="cs"/>
          <w:b/>
          <w:bCs/>
          <w:sz w:val="24"/>
          <w:szCs w:val="24"/>
          <w:rtl/>
        </w:rPr>
        <w:t>מעורב</w:t>
      </w:r>
      <w:r w:rsidRPr="00C95A64">
        <w:rPr>
          <w:rFonts w:ascii="David" w:hAnsi="David" w:cs="David" w:hint="cs"/>
          <w:b/>
          <w:bCs/>
          <w:sz w:val="24"/>
          <w:szCs w:val="24"/>
          <w:rtl/>
        </w:rPr>
        <w:t>ים האחרים</w:t>
      </w:r>
      <w:r>
        <w:rPr>
          <w:rFonts w:ascii="David" w:hAnsi="David" w:cs="David" w:hint="cs"/>
          <w:sz w:val="24"/>
          <w:szCs w:val="24"/>
          <w:rtl/>
        </w:rPr>
        <w:t xml:space="preserve">. </w:t>
      </w:r>
      <w:r>
        <w:rPr>
          <w:rFonts w:cs="David" w:hint="cs"/>
          <w:sz w:val="24"/>
          <w:szCs w:val="24"/>
          <w:rtl/>
        </w:rPr>
        <w:t xml:space="preserve">בינו ובין הסוכן קיימת היכרות מוקדמת והוא זה אשר שוחח בתחילה עם הסוכן וסיכם עמו כי ימכור לו סם מסוכן תמורת 24,000 ₪. הוא אף סיכם את מיקום העסקה. בהתאם לעובדות כתב האישום הנאשם הוא "אדריכל" התוכנית העבריינית. </w:t>
      </w:r>
      <w:r w:rsidRPr="00EF6923">
        <w:rPr>
          <w:rFonts w:ascii="David" w:hAnsi="David" w:cs="David" w:hint="cs"/>
          <w:sz w:val="24"/>
          <w:szCs w:val="24"/>
          <w:rtl/>
        </w:rPr>
        <w:t xml:space="preserve">הנאשם עשה את שעשה </w:t>
      </w:r>
      <w:r w:rsidRPr="002A6179">
        <w:rPr>
          <w:rFonts w:ascii="David" w:hAnsi="David" w:cs="David" w:hint="cs"/>
          <w:sz w:val="24"/>
          <w:szCs w:val="24"/>
          <w:rtl/>
        </w:rPr>
        <w:t>ככל הנראה</w:t>
      </w:r>
      <w:r>
        <w:rPr>
          <w:rFonts w:ascii="David" w:hAnsi="David" w:cs="David" w:hint="cs"/>
          <w:sz w:val="24"/>
          <w:szCs w:val="24"/>
          <w:rtl/>
        </w:rPr>
        <w:t xml:space="preserve"> על רקע רצונו</w:t>
      </w:r>
      <w:r w:rsidRPr="002A6179">
        <w:rPr>
          <w:rFonts w:ascii="David" w:hAnsi="David" w:cs="David" w:hint="cs"/>
          <w:sz w:val="24"/>
          <w:szCs w:val="24"/>
          <w:rtl/>
        </w:rPr>
        <w:t xml:space="preserve"> להשיג "כסף קל"</w:t>
      </w:r>
      <w:r>
        <w:rPr>
          <w:rFonts w:ascii="David" w:hAnsi="David" w:cs="David" w:hint="cs"/>
          <w:sz w:val="24"/>
          <w:szCs w:val="24"/>
          <w:rtl/>
        </w:rPr>
        <w:t xml:space="preserve">. בהתחשב במכלול, נקבע מתחם הענישה ככזה </w:t>
      </w:r>
      <w:r w:rsidRPr="00B97D92">
        <w:rPr>
          <w:rFonts w:ascii="David" w:hAnsi="David" w:cs="David" w:hint="cs"/>
          <w:sz w:val="24"/>
          <w:szCs w:val="24"/>
          <w:rtl/>
        </w:rPr>
        <w:t xml:space="preserve">הנע </w:t>
      </w:r>
      <w:r>
        <w:rPr>
          <w:rFonts w:ascii="David" w:hAnsi="David" w:cs="David" w:hint="cs"/>
          <w:b/>
          <w:bCs/>
          <w:sz w:val="24"/>
          <w:szCs w:val="24"/>
          <w:rtl/>
        </w:rPr>
        <w:t xml:space="preserve">בין 42 חודשי מאסר לריצוי בפועל לבין 65 </w:t>
      </w:r>
      <w:r w:rsidRPr="00BD148C">
        <w:rPr>
          <w:rFonts w:ascii="David" w:hAnsi="David" w:cs="David" w:hint="cs"/>
          <w:b/>
          <w:bCs/>
          <w:sz w:val="24"/>
          <w:szCs w:val="24"/>
          <w:rtl/>
        </w:rPr>
        <w:t>חודשי מאסר לריצוי בפועל</w:t>
      </w:r>
      <w:r>
        <w:rPr>
          <w:rFonts w:ascii="David" w:hAnsi="David" w:cs="David" w:hint="cs"/>
          <w:sz w:val="24"/>
          <w:szCs w:val="24"/>
          <w:rtl/>
        </w:rPr>
        <w:t xml:space="preserve"> </w:t>
      </w:r>
      <w:r w:rsidRPr="002A6179">
        <w:rPr>
          <w:rFonts w:ascii="David" w:hAnsi="David" w:cs="David" w:hint="cs"/>
          <w:sz w:val="24"/>
          <w:szCs w:val="24"/>
          <w:rtl/>
        </w:rPr>
        <w:t>לצד עונשים נלווים.</w:t>
      </w:r>
      <w:r>
        <w:rPr>
          <w:rFonts w:ascii="David" w:hAnsi="David" w:cs="David" w:hint="cs"/>
          <w:sz w:val="24"/>
          <w:szCs w:val="24"/>
          <w:rtl/>
        </w:rPr>
        <w:t xml:space="preserve"> </w:t>
      </w:r>
    </w:p>
    <w:p w:rsidR="00561473" w:rsidRPr="001D702B" w:rsidRDefault="00561473" w:rsidP="00561473">
      <w:pPr>
        <w:spacing w:line="360" w:lineRule="auto"/>
        <w:jc w:val="both"/>
        <w:rPr>
          <w:rFonts w:ascii="David" w:hAnsi="David" w:cs="David"/>
          <w:sz w:val="24"/>
          <w:szCs w:val="24"/>
          <w:rtl/>
        </w:rPr>
      </w:pPr>
      <w:r>
        <w:rPr>
          <w:rFonts w:cs="David" w:hint="cs"/>
          <w:sz w:val="24"/>
          <w:szCs w:val="24"/>
          <w:rtl/>
        </w:rPr>
        <w:t xml:space="preserve">בית המשפט נטל בחשבון את העובדות הבאות: הנאשם </w:t>
      </w:r>
      <w:r w:rsidRPr="00AA2EB1">
        <w:rPr>
          <w:rFonts w:cs="David" w:hint="cs"/>
          <w:b/>
          <w:bCs/>
          <w:sz w:val="24"/>
          <w:szCs w:val="24"/>
          <w:rtl/>
        </w:rPr>
        <w:t>נטל אחריות על מעשיו</w:t>
      </w:r>
      <w:r>
        <w:rPr>
          <w:rFonts w:cs="David" w:hint="cs"/>
          <w:sz w:val="24"/>
          <w:szCs w:val="24"/>
          <w:rtl/>
        </w:rPr>
        <w:t xml:space="preserve">, </w:t>
      </w:r>
      <w:r w:rsidRPr="00AA2EB1">
        <w:rPr>
          <w:rFonts w:cs="David" w:hint="cs"/>
          <w:b/>
          <w:bCs/>
          <w:sz w:val="24"/>
          <w:szCs w:val="24"/>
          <w:rtl/>
        </w:rPr>
        <w:t>הודה במשפטו, חסך זמן שיפוטי ונטל אחר</w:t>
      </w:r>
      <w:r>
        <w:rPr>
          <w:rFonts w:cs="David" w:hint="cs"/>
          <w:b/>
          <w:bCs/>
          <w:sz w:val="24"/>
          <w:szCs w:val="24"/>
          <w:rtl/>
        </w:rPr>
        <w:t xml:space="preserve">יות מלאה על מעשיו תוך הבעת חרטה, </w:t>
      </w:r>
      <w:r w:rsidRPr="00AA2EB1">
        <w:rPr>
          <w:rFonts w:cs="David" w:hint="cs"/>
          <w:b/>
          <w:bCs/>
          <w:sz w:val="24"/>
          <w:szCs w:val="24"/>
          <w:rtl/>
        </w:rPr>
        <w:t>צער</w:t>
      </w:r>
      <w:r>
        <w:rPr>
          <w:rFonts w:cs="David" w:hint="cs"/>
          <w:b/>
          <w:bCs/>
          <w:sz w:val="24"/>
          <w:szCs w:val="24"/>
          <w:rtl/>
        </w:rPr>
        <w:t xml:space="preserve"> ובושה</w:t>
      </w:r>
      <w:r>
        <w:rPr>
          <w:rFonts w:cs="David" w:hint="cs"/>
          <w:sz w:val="24"/>
          <w:szCs w:val="24"/>
          <w:rtl/>
        </w:rPr>
        <w:t xml:space="preserve">. </w:t>
      </w:r>
      <w:r w:rsidRPr="0025532F">
        <w:rPr>
          <w:rFonts w:cs="David" w:hint="cs"/>
          <w:b/>
          <w:bCs/>
          <w:sz w:val="24"/>
          <w:szCs w:val="24"/>
          <w:rtl/>
        </w:rPr>
        <w:t xml:space="preserve">עברו הפלילי של הנאשם </w:t>
      </w:r>
      <w:r>
        <w:rPr>
          <w:rFonts w:cs="David" w:hint="cs"/>
          <w:b/>
          <w:bCs/>
          <w:sz w:val="24"/>
          <w:szCs w:val="24"/>
          <w:rtl/>
        </w:rPr>
        <w:t>אינו נקי</w:t>
      </w:r>
      <w:r w:rsidRPr="001103EC">
        <w:rPr>
          <w:rFonts w:cs="David" w:hint="cs"/>
          <w:sz w:val="24"/>
          <w:szCs w:val="24"/>
          <w:rtl/>
        </w:rPr>
        <w:t>.</w:t>
      </w:r>
      <w:r>
        <w:rPr>
          <w:rFonts w:cs="David" w:hint="cs"/>
          <w:sz w:val="24"/>
          <w:szCs w:val="24"/>
          <w:rtl/>
        </w:rPr>
        <w:t xml:space="preserve"> הנאשם החל בתהליך טיפולי מסוים בזמן מעצרו; לבני משפחתו של הנאשם נגרם וייגרם נזק כלכלי פועל יוצא של מאסרו. הנאשם חלה בסרטן במהלך מעצרו והוא זקוק לניתוח לשם הסרת הגידול. סיכויי החלמתו של הנאשם לאחר קבלת טיפול מתאים הם גבוהים; מחוות הדעת הרפואית שהוגשה עלה, כי אין בהשתת עונש מאסר מאחורי סורג ובריח כדי לסכן את חייו של הנאשם או למנוע ממנו טיפול הולם שעלול לקצר את חייו. נקבע, שמשאלה הם פני הדברים, אין עסקינן כאן במקרה חריג המצדיק סטייה ממתחם העונש ההולם מטעמי צדק; </w:t>
      </w:r>
      <w:r>
        <w:rPr>
          <w:rFonts w:ascii="David" w:hAnsi="David" w:cs="David" w:hint="cs"/>
          <w:sz w:val="24"/>
          <w:szCs w:val="24"/>
          <w:rtl/>
        </w:rPr>
        <w:t xml:space="preserve"> עם זאת, אין להתעלם כליל ממצבו הרפואי של הנאשם. השהות מאחורי סורג ובריח היא קשה לאדם בריא; היא קשה שבעתיים לאדם הסובל מבעיה רפואית משמעותית, הן במישור הגופני הן במישור הנפשי. החלמה ושיקום היא תקופה קשה לכל אדם; היא תקופה קשה עוד יותר למי שחירותו נשללה ממנו. משכך, ראוי להתייחס אל אדם המרצה עונש כשהוא סובל ממחלה משמעותית או כשהוא מצוי בהליכי שיקום והבראה כמי שסבלו פועל יוצא משלילת חירותו רב יותר. בכך יש להתחשב עת גוזרים את עונשו. לפיכך, הוחלט להתחשב במצבו הרפואי בגדרי מתחם הענישה שנקבע. </w:t>
      </w:r>
    </w:p>
    <w:p w:rsidR="00561473" w:rsidRPr="001D702B" w:rsidRDefault="00561473" w:rsidP="00561473">
      <w:pPr>
        <w:spacing w:line="240" w:lineRule="auto"/>
        <w:jc w:val="both"/>
        <w:rPr>
          <w:rFonts w:cs="David"/>
          <w:b/>
          <w:bCs/>
          <w:sz w:val="24"/>
          <w:szCs w:val="24"/>
        </w:rPr>
      </w:pPr>
      <w:r>
        <w:rPr>
          <w:rFonts w:cs="David" w:hint="cs"/>
          <w:sz w:val="24"/>
          <w:szCs w:val="24"/>
          <w:rtl/>
        </w:rPr>
        <w:t xml:space="preserve">הוטלו עליו </w:t>
      </w:r>
      <w:r>
        <w:rPr>
          <w:rFonts w:cs="David" w:hint="cs"/>
          <w:b/>
          <w:bCs/>
          <w:sz w:val="24"/>
          <w:szCs w:val="24"/>
          <w:rtl/>
        </w:rPr>
        <w:t>46</w:t>
      </w:r>
      <w:r w:rsidRPr="001D702B">
        <w:rPr>
          <w:rFonts w:cs="David" w:hint="cs"/>
          <w:b/>
          <w:bCs/>
          <w:sz w:val="24"/>
          <w:szCs w:val="24"/>
          <w:rtl/>
        </w:rPr>
        <w:t xml:space="preserve"> חודשי מאסר לריצוי בפועל</w:t>
      </w:r>
      <w:r>
        <w:rPr>
          <w:rFonts w:cs="David" w:hint="cs"/>
          <w:b/>
          <w:bCs/>
          <w:sz w:val="24"/>
          <w:szCs w:val="24"/>
          <w:rtl/>
        </w:rPr>
        <w:t xml:space="preserve">, </w:t>
      </w:r>
      <w:r>
        <w:rPr>
          <w:rFonts w:cs="David" w:hint="cs"/>
          <w:sz w:val="24"/>
          <w:szCs w:val="24"/>
          <w:rtl/>
        </w:rPr>
        <w:t xml:space="preserve">12 </w:t>
      </w:r>
      <w:r w:rsidRPr="00FD0361">
        <w:rPr>
          <w:rFonts w:cs="David" w:hint="cs"/>
          <w:sz w:val="24"/>
          <w:szCs w:val="24"/>
          <w:rtl/>
        </w:rPr>
        <w:t xml:space="preserve">חודשי מאסר על תנאי </w:t>
      </w:r>
      <w:r w:rsidRPr="00840278">
        <w:rPr>
          <w:rFonts w:cs="David" w:hint="cs"/>
          <w:sz w:val="24"/>
          <w:szCs w:val="24"/>
          <w:rtl/>
        </w:rPr>
        <w:t>קנס בן 3000 ₪</w:t>
      </w:r>
      <w:r>
        <w:rPr>
          <w:rFonts w:cs="David" w:hint="cs"/>
          <w:sz w:val="24"/>
          <w:szCs w:val="24"/>
          <w:rtl/>
        </w:rPr>
        <w:t xml:space="preserve">, </w:t>
      </w:r>
      <w:r w:rsidRPr="006A533C">
        <w:rPr>
          <w:rFonts w:cs="David" w:hint="cs"/>
          <w:sz w:val="24"/>
          <w:szCs w:val="24"/>
          <w:rtl/>
        </w:rPr>
        <w:t>חילוט סך בן 15</w:t>
      </w:r>
      <w:r>
        <w:rPr>
          <w:rFonts w:cs="David" w:hint="cs"/>
          <w:sz w:val="24"/>
          <w:szCs w:val="24"/>
          <w:rtl/>
        </w:rPr>
        <w:t>,</w:t>
      </w:r>
      <w:r w:rsidRPr="006A533C">
        <w:rPr>
          <w:rFonts w:cs="David" w:hint="cs"/>
          <w:sz w:val="24"/>
          <w:szCs w:val="24"/>
          <w:rtl/>
        </w:rPr>
        <w:t>200 ₪ שנתפס בביתו</w:t>
      </w:r>
      <w:r>
        <w:rPr>
          <w:rFonts w:cs="David" w:hint="cs"/>
          <w:sz w:val="24"/>
          <w:szCs w:val="24"/>
          <w:rtl/>
        </w:rPr>
        <w:t>.</w:t>
      </w:r>
      <w:r w:rsidRPr="006A533C">
        <w:rPr>
          <w:rFonts w:cs="David" w:hint="cs"/>
          <w:sz w:val="24"/>
          <w:szCs w:val="24"/>
          <w:rtl/>
        </w:rPr>
        <w:t xml:space="preserve"> </w:t>
      </w:r>
    </w:p>
    <w:p w:rsidR="00561473" w:rsidRPr="00CD15AF" w:rsidRDefault="00561473" w:rsidP="00561473">
      <w:pPr>
        <w:spacing w:line="360" w:lineRule="auto"/>
        <w:jc w:val="both"/>
        <w:rPr>
          <w:rFonts w:ascii="David" w:hAnsi="David" w:cs="David"/>
          <w:sz w:val="24"/>
          <w:szCs w:val="24"/>
          <w:rtl/>
        </w:rPr>
      </w:pPr>
    </w:p>
    <w:p w:rsidR="00541C9E" w:rsidRDefault="00541C9E" w:rsidP="00541C9E">
      <w:pPr>
        <w:spacing w:after="120" w:line="360" w:lineRule="auto"/>
        <w:jc w:val="both"/>
        <w:rPr>
          <w:rFonts w:ascii="FrankRuehl" w:hAnsi="FrankRuehl" w:cs="FrankRuehl"/>
          <w:color w:val="323E4F" w:themeColor="text2" w:themeShade="BF"/>
          <w:sz w:val="26"/>
          <w:szCs w:val="26"/>
          <w:rtl/>
        </w:rPr>
      </w:pPr>
    </w:p>
    <w:p w:rsidR="00541C9E" w:rsidRPr="000071E5" w:rsidRDefault="00541C9E" w:rsidP="00541C9E">
      <w:pPr>
        <w:spacing w:after="120" w:line="360" w:lineRule="auto"/>
        <w:jc w:val="center"/>
        <w:rPr>
          <w:rFonts w:ascii="FrankRuehl" w:hAnsi="FrankRuehl" w:cs="FrankRuehl"/>
          <w:b/>
          <w:bCs/>
          <w:color w:val="002060"/>
          <w:sz w:val="26"/>
          <w:szCs w:val="26"/>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התקציר אינו בא להחליף</w:t>
      </w:r>
      <w:r w:rsidR="00561473">
        <w:rPr>
          <w:rFonts w:ascii="FrankRuehl" w:hAnsi="FrankRuehl" w:cs="FrankRuehl"/>
          <w:b/>
          <w:bCs/>
          <w:color w:val="002060"/>
          <w:sz w:val="26"/>
          <w:szCs w:val="26"/>
          <w:rtl/>
        </w:rPr>
        <w:t xml:space="preserve"> את </w:t>
      </w:r>
      <w:r w:rsidR="00561473">
        <w:rPr>
          <w:rFonts w:ascii="FrankRuehl" w:hAnsi="FrankRuehl" w:cs="FrankRuehl" w:hint="cs"/>
          <w:b/>
          <w:bCs/>
          <w:color w:val="002060"/>
          <w:sz w:val="26"/>
          <w:szCs w:val="26"/>
          <w:rtl/>
        </w:rPr>
        <w:t>גזר</w:t>
      </w:r>
      <w:r w:rsidRPr="000071E5">
        <w:rPr>
          <w:rFonts w:ascii="FrankRuehl" w:hAnsi="FrankRuehl" w:cs="FrankRuehl" w:hint="cs"/>
          <w:b/>
          <w:bCs/>
          <w:color w:val="002060"/>
          <w:sz w:val="26"/>
          <w:szCs w:val="26"/>
          <w:rtl/>
        </w:rPr>
        <w:t>-</w:t>
      </w:r>
      <w:r w:rsidR="00561473">
        <w:rPr>
          <w:rFonts w:ascii="FrankRuehl" w:hAnsi="FrankRuehl" w:cs="FrankRuehl"/>
          <w:b/>
          <w:bCs/>
          <w:color w:val="002060"/>
          <w:sz w:val="26"/>
          <w:szCs w:val="26"/>
          <w:rtl/>
        </w:rPr>
        <w:t xml:space="preserve">הדין, הנוסח המחייב הוא זה של </w:t>
      </w:r>
      <w:r w:rsidR="00561473">
        <w:rPr>
          <w:rFonts w:ascii="FrankRuehl" w:hAnsi="FrankRuehl" w:cs="FrankRuehl" w:hint="cs"/>
          <w:b/>
          <w:bCs/>
          <w:color w:val="002060"/>
          <w:sz w:val="26"/>
          <w:szCs w:val="26"/>
          <w:rtl/>
        </w:rPr>
        <w:t>גזר</w:t>
      </w:r>
      <w:r w:rsidRPr="000071E5">
        <w:rPr>
          <w:rFonts w:ascii="FrankRuehl" w:hAnsi="FrankRuehl" w:cs="FrankRuehl"/>
          <w:b/>
          <w:bCs/>
          <w:color w:val="002060"/>
          <w:sz w:val="26"/>
          <w:szCs w:val="26"/>
          <w:rtl/>
        </w:rPr>
        <w:t>-הדין המלא</w:t>
      </w:r>
      <w:r w:rsidRPr="000071E5">
        <w:rPr>
          <w:rFonts w:ascii="FrankRuehl" w:hAnsi="FrankRuehl" w:cs="FrankRuehl" w:hint="cs"/>
          <w:b/>
          <w:bCs/>
          <w:color w:val="002060"/>
          <w:sz w:val="26"/>
          <w:szCs w:val="26"/>
          <w:rtl/>
        </w:rPr>
        <w:t xml:space="preserve"> ***</w:t>
      </w:r>
    </w:p>
    <w:p w:rsidR="00515986" w:rsidRDefault="00515986" w:rsidP="000C4D75">
      <w:pPr>
        <w:tabs>
          <w:tab w:val="num" w:pos="1080"/>
        </w:tabs>
        <w:spacing w:after="0" w:line="276" w:lineRule="auto"/>
        <w:jc w:val="both"/>
        <w:rPr>
          <w:rFonts w:ascii="Arial" w:eastAsia="Times New Roman" w:hAnsi="Arial" w:cs="David"/>
          <w:b/>
          <w:bCs/>
          <w:sz w:val="24"/>
          <w:szCs w:val="24"/>
          <w:rtl/>
        </w:rPr>
      </w:pPr>
    </w:p>
    <w:p w:rsidR="00515986" w:rsidRDefault="00515986" w:rsidP="000C4D75">
      <w:pPr>
        <w:tabs>
          <w:tab w:val="num" w:pos="1080"/>
        </w:tabs>
        <w:spacing w:after="0" w:line="276" w:lineRule="auto"/>
        <w:jc w:val="both"/>
        <w:rPr>
          <w:rFonts w:ascii="Arial" w:eastAsia="Times New Roman" w:hAnsi="Arial" w:cs="David"/>
          <w:b/>
          <w:bCs/>
          <w:sz w:val="24"/>
          <w:szCs w:val="24"/>
          <w:rtl/>
        </w:rPr>
      </w:pPr>
    </w:p>
    <w:p w:rsidR="002453CF" w:rsidRPr="007B7899" w:rsidRDefault="002453CF" w:rsidP="007B7899">
      <w:pPr>
        <w:spacing w:before="100" w:beforeAutospacing="1" w:after="100" w:afterAutospacing="1" w:line="240" w:lineRule="auto"/>
        <w:ind w:left="4320"/>
        <w:jc w:val="both"/>
        <w:rPr>
          <w:rFonts w:ascii="Times New Roman" w:eastAsia="Times New Roman" w:hAnsi="Times New Roman" w:cs="David"/>
          <w:b/>
          <w:bCs/>
          <w:color w:val="002060"/>
          <w:rtl/>
        </w:rPr>
      </w:pPr>
    </w:p>
    <w:sectPr w:rsidR="002453CF" w:rsidRPr="007B7899"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C63" w:rsidRDefault="00972C63" w:rsidP="00730CA1">
      <w:pPr>
        <w:spacing w:after="0" w:line="240" w:lineRule="auto"/>
      </w:pPr>
      <w:r>
        <w:separator/>
      </w:r>
    </w:p>
  </w:endnote>
  <w:endnote w:type="continuationSeparator" w:id="0">
    <w:p w:rsidR="00972C63" w:rsidRDefault="00972C63"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C9E" w:rsidRPr="003C61AF" w:rsidRDefault="00541C9E" w:rsidP="00541C9E">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C61AF">
      <w:rPr>
        <w:rFonts w:ascii="Times New Roman" w:eastAsia="Times New Roman" w:hAnsi="Times New Roman" w:cs="FrankRuehl"/>
        <w:b/>
        <w:bCs/>
        <w:color w:val="000080"/>
        <w:spacing w:val="6"/>
        <w:sz w:val="24"/>
        <w:szCs w:val="24"/>
        <w:rtl/>
      </w:rPr>
      <w:t>________________________________________________________________</w:t>
    </w:r>
  </w:p>
  <w:p w:rsidR="00541C9E" w:rsidRPr="003C61AF"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Pr>
        <w:rFonts w:ascii="Times New Roman" w:eastAsia="Times New Roman" w:hAnsi="Times New Roman" w:cs="FrankRuehl" w:hint="cs"/>
        <w:b/>
        <w:bCs/>
        <w:color w:val="000080"/>
        <w:spacing w:val="6"/>
        <w:sz w:val="24"/>
        <w:szCs w:val="24"/>
        <w:rtl/>
      </w:rPr>
      <w:t xml:space="preserve">בית משפט העליון | רחוב דרך השופט מאיר שמגר 1 | </w:t>
    </w:r>
    <w:proofErr w:type="spellStart"/>
    <w:r>
      <w:rPr>
        <w:rFonts w:ascii="Times New Roman" w:eastAsia="Times New Roman" w:hAnsi="Times New Roman" w:cs="FrankRuehl" w:hint="cs"/>
        <w:b/>
        <w:bCs/>
        <w:color w:val="000080"/>
        <w:spacing w:val="6"/>
        <w:sz w:val="24"/>
        <w:szCs w:val="24"/>
        <w:rtl/>
      </w:rPr>
      <w:t>קרית</w:t>
    </w:r>
    <w:proofErr w:type="spellEnd"/>
    <w:r>
      <w:rPr>
        <w:rFonts w:ascii="Times New Roman" w:eastAsia="Times New Roman" w:hAnsi="Times New Roman" w:cs="FrankRuehl" w:hint="cs"/>
        <w:b/>
        <w:bCs/>
        <w:color w:val="000080"/>
        <w:spacing w:val="6"/>
        <w:sz w:val="24"/>
        <w:szCs w:val="24"/>
        <w:rtl/>
      </w:rPr>
      <w:t xml:space="preserve"> בן גוריון |</w:t>
    </w:r>
    <w:r w:rsidRPr="003C61AF">
      <w:rPr>
        <w:rFonts w:ascii="Times New Roman" w:eastAsia="Times New Roman" w:hAnsi="Times New Roman" w:cs="FrankRuehl" w:hint="cs"/>
        <w:b/>
        <w:bCs/>
        <w:color w:val="000080"/>
        <w:spacing w:val="6"/>
        <w:sz w:val="24"/>
        <w:szCs w:val="24"/>
        <w:rtl/>
      </w:rPr>
      <w:t xml:space="preserve"> ירושלים</w:t>
    </w:r>
  </w:p>
  <w:p w:rsidR="003C61AF" w:rsidRPr="00541C9E"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Pr>
    </w:pPr>
    <w:r w:rsidRPr="003C61AF">
      <w:rPr>
        <w:rFonts w:ascii="Times New Roman" w:eastAsia="Times New Roman" w:hAnsi="Times New Roman" w:cs="FrankRuehl" w:hint="cs"/>
        <w:b/>
        <w:bCs/>
        <w:color w:val="000080"/>
        <w:spacing w:val="6"/>
        <w:sz w:val="24"/>
        <w:szCs w:val="24"/>
        <w:rtl/>
      </w:rPr>
      <w:t xml:space="preserve">טל: </w:t>
    </w:r>
    <w:r w:rsidRPr="003C61AF">
      <w:rPr>
        <w:rFonts w:ascii="Times New Roman" w:eastAsia="Times New Roman" w:hAnsi="Times New Roman" w:cs="FrankRuehl"/>
        <w:b/>
        <w:bCs/>
        <w:color w:val="000080"/>
        <w:spacing w:val="6"/>
        <w:sz w:val="24"/>
        <w:szCs w:val="24"/>
      </w:rPr>
      <w:t>074-7480412</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דוא"ל</w:t>
    </w:r>
    <w:r w:rsidRPr="003C61AF">
      <w:rPr>
        <w:rFonts w:ascii="Times New Roman" w:eastAsia="Times New Roman" w:hAnsi="Times New Roman" w:cs="FrankRuehl"/>
        <w:b/>
        <w:bCs/>
        <w:color w:val="000080"/>
        <w:spacing w:val="6"/>
        <w:sz w:val="24"/>
        <w:szCs w:val="24"/>
      </w:rPr>
      <w:t>:</w:t>
    </w:r>
    <w:r w:rsidRPr="003C61AF">
      <w:rPr>
        <w:rFonts w:ascii="Times New Roman" w:eastAsia="Times New Roman" w:hAnsi="Times New Roman" w:cs="FrankRuehl" w:hint="cs"/>
        <w:b/>
        <w:bCs/>
        <w:color w:val="000080"/>
        <w:spacing w:val="6"/>
        <w:sz w:val="24"/>
        <w:szCs w:val="24"/>
        <w:rtl/>
      </w:rPr>
      <w:t xml:space="preserve">  </w:t>
    </w:r>
    <w:hyperlink r:id="rId1" w:history="1">
      <w:r w:rsidRPr="003C61AF">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C63" w:rsidRDefault="00972C63" w:rsidP="00730CA1">
      <w:pPr>
        <w:spacing w:after="0" w:line="240" w:lineRule="auto"/>
      </w:pPr>
      <w:r>
        <w:separator/>
      </w:r>
    </w:p>
  </w:footnote>
  <w:footnote w:type="continuationSeparator" w:id="0">
    <w:p w:rsidR="00972C63" w:rsidRDefault="00972C63"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D42A7"/>
    <w:rsid w:val="002453CF"/>
    <w:rsid w:val="002C0E83"/>
    <w:rsid w:val="003921C3"/>
    <w:rsid w:val="003C61AF"/>
    <w:rsid w:val="003E6E39"/>
    <w:rsid w:val="003E7EB7"/>
    <w:rsid w:val="00426AA7"/>
    <w:rsid w:val="00515986"/>
    <w:rsid w:val="005253B2"/>
    <w:rsid w:val="00541C9E"/>
    <w:rsid w:val="00561473"/>
    <w:rsid w:val="005E48CA"/>
    <w:rsid w:val="00631744"/>
    <w:rsid w:val="00690B6F"/>
    <w:rsid w:val="006B7B96"/>
    <w:rsid w:val="006C3B1F"/>
    <w:rsid w:val="006F1E1F"/>
    <w:rsid w:val="007007D7"/>
    <w:rsid w:val="00711675"/>
    <w:rsid w:val="00723A5A"/>
    <w:rsid w:val="00730CA1"/>
    <w:rsid w:val="007B7899"/>
    <w:rsid w:val="00832AD7"/>
    <w:rsid w:val="008C02E0"/>
    <w:rsid w:val="00972C63"/>
    <w:rsid w:val="00983123"/>
    <w:rsid w:val="009E5C0E"/>
    <w:rsid w:val="00A16F95"/>
    <w:rsid w:val="00AD7644"/>
    <w:rsid w:val="00B16422"/>
    <w:rsid w:val="00B22AFC"/>
    <w:rsid w:val="00BA3143"/>
    <w:rsid w:val="00C22E08"/>
    <w:rsid w:val="00C37F37"/>
    <w:rsid w:val="00C50C55"/>
    <w:rsid w:val="00C529CC"/>
    <w:rsid w:val="00C842A7"/>
    <w:rsid w:val="00C85A27"/>
    <w:rsid w:val="00CA2D6A"/>
    <w:rsid w:val="00CB4940"/>
    <w:rsid w:val="00CD280B"/>
    <w:rsid w:val="00D11F77"/>
    <w:rsid w:val="00D205AB"/>
    <w:rsid w:val="00D43C0E"/>
    <w:rsid w:val="00D5319F"/>
    <w:rsid w:val="00E35DF3"/>
    <w:rsid w:val="00E63449"/>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9AC572B0-DDDE-46EF-A8A3-48932615AB65}">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713</Words>
  <Characters>3565</Characters>
  <Application>Microsoft Office Word</Application>
  <DocSecurity>0</DocSecurity>
  <Lines>29</Lines>
  <Paragraphs>8</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אסתר טטרואשילי</cp:lastModifiedBy>
  <cp:revision>2</cp:revision>
  <cp:lastPrinted>2017-11-13T12:38:00Z</cp:lastPrinted>
  <dcterms:created xsi:type="dcterms:W3CDTF">2023-12-31T07:43:00Z</dcterms:created>
  <dcterms:modified xsi:type="dcterms:W3CDTF">2023-12-31T07:43:00Z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24 בדצמבר 2023</vt:lpwstr>
  </property>
  <property fmtid="{D5CDD505-2E9C-101B-9397-08002B2CF9AE}" pid="3" name="DocDateHeb">
    <vt:lpwstr>י"ב בטבת תשפ"ד</vt:lpwstr>
  </property>
  <property fmtid="{D5CDD505-2E9C-101B-9397-08002B2CF9AE}" pid="4" name="DocNumber">
    <vt:lpwstr>4700-1039-2023-010182</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גזר דין אימן מסרוואה תיק 60484-03-22</vt:lpwstr>
  </property>
</Properties>
</file>